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Immediate Release</w:t>
      </w:r>
    </w:p>
    <w:p w:rsidR="00000000" w:rsidDel="00000000" w:rsidP="00000000" w:rsidRDefault="00000000" w:rsidRPr="00000000" w14:paraId="000000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{CONTACT NAME, TITLE}</w:t>
        <w:br w:type="textWrapping"/>
        <w:t xml:space="preserve">{ORGANIZATION}</w:t>
        <w:br w:type="textWrapping"/>
        <w:t xml:space="preserve">{PHONE} {EMAIL}</w:t>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color w:val="0e101a"/>
          <w:sz w:val="22"/>
          <w:szCs w:val="22"/>
        </w:rPr>
      </w:pPr>
      <w:r w:rsidDel="00000000" w:rsidR="00000000" w:rsidRPr="00000000">
        <w:rPr>
          <w:rFonts w:ascii="Calibri" w:cs="Calibri" w:eastAsia="Calibri" w:hAnsi="Calibri"/>
          <w:b w:val="1"/>
          <w:bCs w:val="1"/>
          <w:color w:val="0e101a"/>
          <w:sz w:val="22"/>
          <w:szCs w:val="22"/>
          <w:rtl w:val="0"/>
        </w:rPr>
        <w:t xml:space="preserve">Explore the “Games We Play” at  [LOCATION]</w:t>
      </w:r>
    </w:p>
    <w:p w:rsidR="00000000" w:rsidDel="00000000" w:rsidP="00000000" w:rsidRDefault="00000000" w:rsidRPr="00000000" w14:paraId="00000007">
      <w:pPr>
        <w:spacing w:line="217"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8">
      <w:pPr>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[CITY] — [ORGANIZATION] presents “</w:t>
      </w:r>
      <w:r w:rsidDel="00000000" w:rsidR="00000000" w:rsidRPr="00000000">
        <w:rPr>
          <w:rFonts w:ascii="Calibri" w:cs="Calibri" w:eastAsia="Calibri" w:hAnsi="Calibri"/>
          <w:b w:val="1"/>
          <w:bCs w:val="1"/>
          <w:color w:val="0e101a"/>
          <w:sz w:val="22"/>
          <w:szCs w:val="22"/>
          <w:rtl w:val="0"/>
        </w:rPr>
        <w:t xml:space="preserve">Games We Play,</w:t>
      </w:r>
      <w:r w:rsidDel="00000000" w:rsidR="00000000" w:rsidRPr="00000000">
        <w:rPr>
          <w:rFonts w:ascii="Calibri" w:cs="Calibri" w:eastAsia="Calibri" w:hAnsi="Calibri"/>
          <w:color w:val="0e101a"/>
          <w:sz w:val="22"/>
          <w:szCs w:val="22"/>
          <w:rtl w:val="0"/>
        </w:rPr>
        <w:t xml:space="preserve">” a</w:t>
      </w:r>
      <w:hyperlink r:id="rId7">
        <w:r w:rsidDel="00000000" w:rsidR="00000000" w:rsidRPr="00000000">
          <w:rPr>
            <w:rFonts w:ascii="Calibri" w:cs="Calibri" w:eastAsia="Calibri" w:hAnsi="Calibri"/>
            <w:color w:val="0e101a"/>
            <w:sz w:val="22"/>
            <w:szCs w:val="22"/>
            <w:rtl w:val="0"/>
          </w:rPr>
          <w:t xml:space="preserve"> </w:t>
        </w:r>
      </w:hyperlink>
      <w:hyperlink r:id="rId8">
        <w:r w:rsidDel="00000000" w:rsidR="00000000" w:rsidRPr="00000000">
          <w:rPr>
            <w:rFonts w:ascii="Calibri" w:cs="Calibri" w:eastAsia="Calibri" w:hAnsi="Calibri"/>
            <w:color w:val="4a6ee0"/>
            <w:sz w:val="22"/>
            <w:szCs w:val="22"/>
            <w:u w:val="single"/>
            <w:rtl w:val="0"/>
          </w:rPr>
          <w:t xml:space="preserve">Utah Arts &amp; Museums Traveling Exhibition Program</w:t>
        </w:r>
      </w:hyperlink>
      <w:r w:rsidDel="00000000" w:rsidR="00000000" w:rsidRPr="00000000">
        <w:rPr>
          <w:rFonts w:ascii="Calibri" w:cs="Calibri" w:eastAsia="Calibri" w:hAnsi="Calibri"/>
          <w:color w:val="0e101a"/>
          <w:sz w:val="22"/>
          <w:szCs w:val="22"/>
          <w:rtl w:val="0"/>
        </w:rPr>
        <w:t xml:space="preserve">, from [START DATE] through [END DATE] at [LOCATION]. There are games all around us. Utah artists present an entertaining and thought-provoking look at how everyone might be a player in the games around us. </w:t>
      </w:r>
    </w:p>
    <w:p w:rsidR="00000000" w:rsidDel="00000000" w:rsidP="00000000" w:rsidRDefault="00000000" w:rsidRPr="00000000" w14:paraId="00000009">
      <w:pPr>
        <w:rPr>
          <w:rFonts w:ascii="Calibri" w:cs="Calibri" w:eastAsia="Calibri" w:hAnsi="Calibri"/>
          <w:color w:val="0e101a"/>
          <w:sz w:val="22"/>
          <w:szCs w:val="22"/>
        </w:rPr>
      </w:pPr>
      <w:r w:rsidDel="00000000" w:rsidR="00000000" w:rsidRPr="00000000">
        <w:rPr>
          <w:rtl w:val="0"/>
        </w:rPr>
      </w:r>
    </w:p>
    <w:p w:rsidR="00000000" w:rsidDel="00000000" w:rsidP="00000000" w:rsidRDefault="00000000" w:rsidRPr="00000000" w14:paraId="0000000A">
      <w:pPr>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How do we define ourselves by what we wear? How do the decisions of political power players affect us? How do we interpret what animals may be communicating to us? How do new perspectives form by redefining the shapes around us? There are endless opportunities to interpret our world and be a player in the game. </w:t>
      </w:r>
    </w:p>
    <w:p w:rsidR="00000000" w:rsidDel="00000000" w:rsidP="00000000" w:rsidRDefault="00000000" w:rsidRPr="00000000" w14:paraId="0000000B">
      <w:pPr>
        <w:rPr>
          <w:rFonts w:ascii="Calibri" w:cs="Calibri" w:eastAsia="Calibri" w:hAnsi="Calibri"/>
          <w:color w:val="0e101a"/>
          <w:sz w:val="22"/>
          <w:szCs w:val="22"/>
        </w:rPr>
      </w:pPr>
      <w:r w:rsidDel="00000000" w:rsidR="00000000" w:rsidRPr="00000000">
        <w:rPr>
          <w:rtl w:val="0"/>
        </w:rPr>
      </w:r>
    </w:p>
    <w:p w:rsidR="00000000" w:rsidDel="00000000" w:rsidP="00000000" w:rsidRDefault="00000000" w:rsidRPr="00000000" w14:paraId="0000000C">
      <w:pPr>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Artists Camille Wheatley, Christina Stanley, Jessica Rasmussen, Krysta Dimick, Linnie Brown, Rebecca Klundt, Susan Riedley, Yuonne Krause, Cheryl Walden, and </w:t>
      </w:r>
      <w:r w:rsidDel="00000000" w:rsidR="00000000" w:rsidRPr="00000000">
        <w:rPr>
          <w:rFonts w:ascii="Calibri" w:cs="Calibri" w:eastAsia="Calibri" w:hAnsi="Calibri"/>
          <w:color w:val="0e101a"/>
          <w:sz w:val="22"/>
          <w:szCs w:val="22"/>
          <w:rtl w:val="0"/>
        </w:rPr>
        <w:t xml:space="preserve">Pam</w:t>
      </w:r>
      <w:r w:rsidDel="00000000" w:rsidR="00000000" w:rsidRPr="00000000">
        <w:rPr>
          <w:rFonts w:ascii="Calibri" w:cs="Calibri" w:eastAsia="Calibri" w:hAnsi="Calibri"/>
          <w:color w:val="0e101a"/>
          <w:sz w:val="22"/>
          <w:szCs w:val="22"/>
          <w:rtl w:val="0"/>
        </w:rPr>
        <w:t xml:space="preserve"> Beach use different mediums, styles, and concepts to explore the impact games have on society. Connected by a shared love of creating art, these Utah artists use visual cues to interpret gameplay by drawing on their life experiences and backgrounds in psychology, graphic design, architecture, writing, producing, and teaching. </w:t>
      </w:r>
    </w:p>
    <w:p w:rsidR="00000000" w:rsidDel="00000000" w:rsidP="00000000" w:rsidRDefault="00000000" w:rsidRPr="00000000" w14:paraId="0000000D">
      <w:pPr>
        <w:rPr>
          <w:rFonts w:ascii="Calibri" w:cs="Calibri" w:eastAsia="Calibri" w:hAnsi="Calibri"/>
          <w:color w:val="0e101a"/>
          <w:sz w:val="22"/>
          <w:szCs w:val="22"/>
        </w:rPr>
      </w:pPr>
      <w:r w:rsidDel="00000000" w:rsidR="00000000" w:rsidRPr="00000000">
        <w:rPr>
          <w:rtl w:val="0"/>
        </w:rPr>
      </w:r>
    </w:p>
    <w:p w:rsidR="00000000" w:rsidDel="00000000" w:rsidP="00000000" w:rsidRDefault="00000000" w:rsidRPr="00000000" w14:paraId="0000000E">
      <w:pPr>
        <w:rPr>
          <w:rFonts w:ascii="Calibri" w:cs="Calibri" w:eastAsia="Calibri" w:hAnsi="Calibri"/>
          <w:color w:val="0e101a"/>
          <w:sz w:val="22"/>
          <w:szCs w:val="22"/>
        </w:rPr>
      </w:pPr>
      <w:r w:rsidDel="00000000" w:rsidR="00000000" w:rsidRPr="00000000">
        <w:rPr>
          <w:rFonts w:ascii="Calibri" w:cs="Calibri" w:eastAsia="Calibri" w:hAnsi="Calibri"/>
          <w:color w:val="0e101a"/>
          <w:sz w:val="22"/>
          <w:szCs w:val="22"/>
          <w:rtl w:val="0"/>
        </w:rPr>
        <w:t xml:space="preserve">Join the game. Dare to be a game-changer. View “Games We Play” at [LOCATION], [STREET ADDRESS, CITY] from [START DATE] to [END DATE]. [LOCATION] is open [DAYS OPEN] from [OPENING TIME] to [CLOSING TIME]. For more information on viewing the exhibition, please call [PHONE NUMBER] or go to [WEB ADDRESS]. </w:t>
      </w:r>
    </w:p>
    <w:p w:rsidR="00000000" w:rsidDel="00000000" w:rsidP="00000000" w:rsidRDefault="00000000" w:rsidRPr="00000000" w14:paraId="0000000F">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About Utah Division of Arts &amp; Museums Traveling Exhibition Program</w:t>
      </w:r>
      <w:r w:rsidDel="00000000" w:rsidR="00000000" w:rsidRPr="00000000">
        <w:rPr>
          <w:b w:val="1"/>
          <w:bCs w:val="1"/>
          <w:u w:val="single"/>
          <w:rtl w:val="0"/>
        </w:rPr>
        <w:br w:type="textWrapping"/>
      </w:r>
      <w:hyperlink r:id="rId9">
        <w:r w:rsidDel="00000000" w:rsidR="00000000" w:rsidRPr="00000000">
          <w:rPr>
            <w:rFonts w:ascii="Calibri" w:cs="Calibri" w:eastAsia="Calibri" w:hAnsi="Calibri"/>
            <w:color w:val="1155cc"/>
            <w:sz w:val="22"/>
            <w:szCs w:val="22"/>
            <w:u w:val="single"/>
            <w:rtl w:val="0"/>
          </w:rPr>
          <w:t xml:space="preserve">Utah Arts &amp; Museums Traveling Exhibition Program</w:t>
        </w:r>
      </w:hyperlink>
      <w:r w:rsidDel="00000000" w:rsidR="00000000" w:rsidRPr="00000000">
        <w:rPr>
          <w:rFonts w:ascii="Calibri" w:cs="Calibri" w:eastAsia="Calibri" w:hAnsi="Calibri"/>
          <w:sz w:val="22"/>
          <w:szCs w:val="22"/>
          <w:rtl w:val="0"/>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10">
        <w:r w:rsidDel="00000000" w:rsidR="00000000" w:rsidRPr="00000000">
          <w:rPr>
            <w:rFonts w:ascii="Calibri" w:cs="Calibri" w:eastAsia="Calibri" w:hAnsi="Calibri"/>
            <w:color w:val="1155cc"/>
            <w:sz w:val="22"/>
            <w:szCs w:val="22"/>
            <w:highlight w:val="white"/>
            <w:u w:val="single"/>
            <w:rtl w:val="0"/>
          </w:rPr>
          <w:t xml:space="preserve">fbooth@utah.gov</w:t>
        </w:r>
      </w:hyperlink>
      <w:r w:rsidDel="00000000" w:rsidR="00000000" w:rsidRPr="00000000">
        <w:rPr>
          <w:rFonts w:ascii="Calibri" w:cs="Calibri" w:eastAsia="Calibri" w:hAnsi="Calibri"/>
          <w:sz w:val="22"/>
          <w:szCs w:val="22"/>
          <w:highlight w:val="white"/>
          <w:rtl w:val="0"/>
        </w:rPr>
        <w:t xml:space="preserve"> o</w:t>
      </w:r>
      <w:r w:rsidDel="00000000" w:rsidR="00000000" w:rsidRPr="00000000">
        <w:rPr>
          <w:rFonts w:ascii="Calibri" w:cs="Calibri" w:eastAsia="Calibri" w:hAnsi="Calibri"/>
          <w:sz w:val="22"/>
          <w:szCs w:val="22"/>
          <w:rtl w:val="0"/>
        </w:rPr>
        <w:t xml:space="preserve">r 801.824.9177. </w:t>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About Utah Division of Arts &amp; Museums</w:t>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Utah Division of Arts &amp; Museums is a division of the Utah Department of Cultural &amp; Community Engagement. Utah Arts &amp; Museums seeks to advance Utahns’ quality of life through arts and museum</w:t>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11">
        <w:r w:rsidDel="00000000" w:rsidR="00000000" w:rsidRPr="00000000">
          <w:rPr>
            <w:rFonts w:ascii="Calibri" w:cs="Calibri" w:eastAsia="Calibri" w:hAnsi="Calibri"/>
            <w:color w:val="1155cc"/>
            <w:sz w:val="22"/>
            <w:szCs w:val="22"/>
            <w:u w:val="single"/>
            <w:rtl w:val="0"/>
          </w:rPr>
          <w:t xml:space="preserve">artsandmuseums.utah.gov</w:t>
        </w:r>
      </w:hyperlink>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sectPr>
      <w:pgSz w:h="15840" w:w="12240" w:orient="portrait"/>
      <w:pgMar w:bottom="907" w:top="994" w:left="1440" w:right="1440"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cs="Arial" w:eastAsia="Arial" w:hAnsi="Arial"/>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1)" w:cs="Arial (W1)" w:eastAsia="Arial (W1)" w:hAnsi="Arial (W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1)" w:cs="Arial (W1)" w:eastAsia="Arial (W1)" w:hAnsi="Arial (W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spacing w:line="435" w:lineRule="auto"/>
    </w:pPr>
    <w:rPr>
      <w:rFonts w:ascii="Arial (W1)" w:cs="Arial (W1)" w:eastAsia="Arial (W1)" w:hAnsi="Arial (W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autoSpaceDE w:val="0"/>
      <w:autoSpaceDN w:val="0"/>
      <w:adjustRightInd w:val="0"/>
    </w:pPr>
    <w:rPr>
      <w:szCs w:val="24"/>
    </w:rPr>
  </w:style>
  <w:style w:type="paragraph" w:styleId="Heading1">
    <w:name w:val="heading 1"/>
    <w:basedOn w:val="Normal"/>
    <w:next w:val="Normal"/>
    <w:qFormat w:val="1"/>
    <w:pPr>
      <w:keepNext w:val="1"/>
      <w:tabs>
        <w:tab w:val="left" w:pos="0"/>
        <w:tab w:val="left" w:pos="720"/>
        <w:tab w:val="left" w:pos="1440"/>
        <w:tab w:val="left" w:pos="2160"/>
        <w:tab w:val="left" w:pos="2880"/>
        <w:tab w:val="left" w:pos="3600"/>
        <w:tab w:val="left" w:pos="4320"/>
        <w:tab w:val="left" w:pos="5040"/>
        <w:tab w:val="left" w:pos="5760"/>
        <w:tab w:val="left" w:pos="6480"/>
      </w:tabs>
      <w:spacing w:line="435" w:lineRule="auto"/>
      <w:outlineLvl w:val="0"/>
    </w:pPr>
    <w:rPr>
      <w:rFonts w:ascii="Arial (W1)" w:cs="Arial" w:hAnsi="Arial (W1)"/>
      <w:bCs w:val="1"/>
      <w:sz w:val="24"/>
      <w:szCs w:val="25"/>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FootnoteReference">
    <w:name w:val="footnote reference"/>
    <w:semiHidden w:val="1"/>
  </w:style>
  <w:style w:type="character" w:styleId="Hyperlink">
    <w:name w:val="Hyperlink"/>
    <w:basedOn w:val="DefaultParagraphFont"/>
    <w:rPr>
      <w:color w:val="0000ff"/>
      <w:u w:val="single"/>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s>
      <w:spacing w:line="326" w:lineRule="auto"/>
      <w:jc w:val="both"/>
    </w:pPr>
    <w:rPr>
      <w:rFonts w:cs="Arial"/>
      <w:bCs w:val="1"/>
      <w:sz w:val="24"/>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s>
      <w:spacing w:line="217" w:lineRule="auto"/>
    </w:pPr>
    <w:rPr>
      <w:rFonts w:ascii="Arial (W1)" w:cs="Arial" w:hAnsi="Arial (W1)"/>
      <w:b w:val="1"/>
      <w:bCs w:val="1"/>
      <w:i w:val="1"/>
      <w:iCs w:val="1"/>
    </w:rPr>
  </w:style>
  <w:style w:type="paragraph" w:styleId="DefinitionT" w:customStyle="1">
    <w:name w:val="Definition T"/>
    <w:rsid w:val="008662D3"/>
    <w:pPr>
      <w:widowControl w:val="0"/>
      <w:autoSpaceDE w:val="0"/>
      <w:autoSpaceDN w:val="0"/>
      <w:adjustRightInd w:val="0"/>
    </w:pPr>
    <w:rPr>
      <w:sz w:val="24"/>
      <w:szCs w:val="24"/>
    </w:rPr>
  </w:style>
  <w:style w:type="paragraph" w:styleId="Default" w:customStyle="1">
    <w:name w:val="Default"/>
    <w:rsid w:val="00A95EA2"/>
    <w:pPr>
      <w:autoSpaceDE w:val="0"/>
      <w:autoSpaceDN w:val="0"/>
      <w:adjustRightInd w:val="0"/>
    </w:pPr>
    <w:rPr>
      <w:rFonts w:ascii="Bookman Old Style" w:cs="Bookman Old Style" w:eastAsia="Calibri" w:hAnsi="Bookman Old Style"/>
      <w:color w:val="000000"/>
      <w:sz w:val="24"/>
      <w:szCs w:val="24"/>
    </w:rPr>
  </w:style>
  <w:style w:type="paragraph" w:styleId="NormalWeb">
    <w:name w:val="Normal (Web)"/>
    <w:basedOn w:val="Normal"/>
    <w:uiPriority w:val="99"/>
    <w:unhideWhenUsed w:val="1"/>
    <w:rsid w:val="00A95EA2"/>
    <w:pPr>
      <w:widowControl w:val="1"/>
      <w:autoSpaceDE w:val="1"/>
      <w:autoSpaceDN w:val="1"/>
      <w:adjustRightInd w:val="1"/>
      <w:spacing w:after="100" w:afterAutospacing="1" w:before="100" w:beforeAutospacing="1"/>
    </w:pPr>
    <w:rPr>
      <w:sz w:val="24"/>
    </w:rPr>
  </w:style>
  <w:style w:type="character" w:styleId="Emphasis">
    <w:name w:val="Emphasis"/>
    <w:uiPriority w:val="20"/>
    <w:qFormat w:val="1"/>
    <w:rsid w:val="00A95EA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artsandmuseums.utah.gov" TargetMode="External"/><Relationship Id="rId10" Type="http://schemas.openxmlformats.org/officeDocument/2006/relationships/hyperlink" Target="mailto:fbooth@utah.gov" TargetMode="External"/><Relationship Id="rId9" Type="http://schemas.openxmlformats.org/officeDocument/2006/relationships/hyperlink" Target="https://artsandmuseums.utah.gov/traveling-exhibit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tsandmuseums.utah.gov/traveling-exhibitions/" TargetMode="External"/><Relationship Id="rId8" Type="http://schemas.openxmlformats.org/officeDocument/2006/relationships/hyperlink" Target="https://artsandmuseums.utah.gov/traveling-exhib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81PKQK3jiidSuLyMl2keD0N6YQ==">CgMxLjA4AHIhMVFDZmtyMUJCSUd1Z2pjRTdMYkFRV1hvTHBfQkVHdjJC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2018-12-12T18:12:00Z</dcterms:created>
  <dc:creator>aleduc</dc:creator>
</cp:coreProperties>
</file>