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Immediate Release</w:t>
      </w:r>
    </w:p>
    <w:p w:rsidR="00000000" w:rsidDel="00000000" w:rsidP="00000000" w:rsidRDefault="00000000" w:rsidRPr="00000000" w14:paraId="0000000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w:t>
      </w:r>
    </w:p>
    <w:p w:rsidR="00000000" w:rsidDel="00000000" w:rsidP="00000000" w:rsidRDefault="00000000" w:rsidRPr="00000000" w14:paraId="0000000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{CONTACT NAME, TITLE}</w:t>
        <w:br w:type="textWrapping"/>
        <w:t xml:space="preserve">{ORGANIZATION}</w:t>
        <w:br w:type="textWrapping"/>
        <w:t xml:space="preserve">{PHONE} {EMAIL}</w:t>
      </w:r>
    </w:p>
    <w:p w:rsidR="00000000" w:rsidDel="00000000" w:rsidP="00000000" w:rsidRDefault="00000000" w:rsidRPr="00000000" w14:paraId="00000005">
      <w:pPr>
        <w:spacing w:line="217"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6">
      <w:pPr>
        <w:spacing w:line="217" w:lineRule="auto"/>
        <w:jc w:val="center"/>
        <w:rPr>
          <w:rFonts w:ascii="Calibri" w:cs="Calibri" w:eastAsia="Calibri" w:hAnsi="Calibri"/>
          <w:b w:val="1"/>
          <w:bCs w:val="1"/>
          <w:sz w:val="22"/>
          <w:szCs w:val="22"/>
        </w:rPr>
      </w:pPr>
      <w:bookmarkStart w:colFirst="0" w:colLast="0" w:name="_heading=h.844m0m7o2p9d" w:id="0"/>
      <w:bookmarkEnd w:id="0"/>
      <w:r w:rsidDel="00000000" w:rsidR="00000000" w:rsidRPr="00000000">
        <w:rPr>
          <w:rFonts w:ascii="Calibri" w:cs="Calibri" w:eastAsia="Calibri" w:hAnsi="Calibri"/>
          <w:b w:val="1"/>
          <w:bCs w:val="1"/>
          <w:sz w:val="22"/>
          <w:szCs w:val="22"/>
          <w:rtl w:val="0"/>
        </w:rPr>
        <w:t xml:space="preserve">Explore Photographic Risks Through a Critical Eye at [LOCATION] </w:t>
      </w:r>
    </w:p>
    <w:p w:rsidR="00000000" w:rsidDel="00000000" w:rsidP="00000000" w:rsidRDefault="00000000" w:rsidRPr="00000000" w14:paraId="00000007">
      <w:pPr>
        <w:spacing w:line="217" w:lineRule="auto"/>
        <w:jc w:val="center"/>
        <w:rPr>
          <w:rFonts w:ascii="Calibri" w:cs="Calibri" w:eastAsia="Calibri" w:hAnsi="Calibri"/>
          <w:b w:val="1"/>
          <w:bCs w:val="1"/>
          <w:sz w:val="22"/>
          <w:szCs w:val="22"/>
        </w:rPr>
      </w:pPr>
      <w:bookmarkStart w:colFirst="0" w:colLast="0" w:name="_heading=h.xhp3t8s9uixt" w:id="1"/>
      <w:bookmarkEnd w:id="1"/>
      <w:r w:rsidDel="00000000" w:rsidR="00000000" w:rsidRPr="00000000">
        <w:rPr>
          <w:rtl w:val="0"/>
        </w:rPr>
      </w:r>
    </w:p>
    <w:p w:rsidR="00000000" w:rsidDel="00000000" w:rsidP="00000000" w:rsidRDefault="00000000" w:rsidRPr="00000000" w14:paraId="00000008">
      <w:pPr>
        <w:rPr>
          <w:rFonts w:ascii="Calibri" w:cs="Calibri" w:eastAsia="Calibri" w:hAnsi="Calibri"/>
          <w:i w:val="1"/>
          <w:iCs w:val="1"/>
          <w:sz w:val="22"/>
          <w:szCs w:val="22"/>
        </w:rPr>
      </w:pPr>
      <w:r w:rsidDel="00000000" w:rsidR="00000000" w:rsidRPr="00000000">
        <w:rPr>
          <w:rFonts w:ascii="Calibri" w:cs="Calibri" w:eastAsia="Calibri" w:hAnsi="Calibri"/>
          <w:sz w:val="22"/>
          <w:szCs w:val="22"/>
          <w:rtl w:val="0"/>
        </w:rPr>
        <w:t xml:space="preserve">[CITY] — [ORGANIZATION] presents “</w:t>
      </w:r>
      <w:r w:rsidDel="00000000" w:rsidR="00000000" w:rsidRPr="00000000">
        <w:rPr>
          <w:rFonts w:ascii="Calibri" w:cs="Calibri" w:eastAsia="Calibri" w:hAnsi="Calibri"/>
          <w:b w:val="1"/>
          <w:bCs w:val="1"/>
          <w:sz w:val="22"/>
          <w:szCs w:val="22"/>
          <w:rtl w:val="0"/>
        </w:rPr>
        <w:t xml:space="preserve">The Eyes Have It</w:t>
      </w:r>
      <w:r w:rsidDel="00000000" w:rsidR="00000000" w:rsidRPr="00000000">
        <w:rPr>
          <w:rFonts w:ascii="Calibri" w:cs="Calibri" w:eastAsia="Calibri" w:hAnsi="Calibri"/>
          <w:sz w:val="22"/>
          <w:szCs w:val="22"/>
          <w:rtl w:val="0"/>
        </w:rPr>
        <w:t xml:space="preserve">,” a </w:t>
      </w:r>
      <w:hyperlink r:id="rId7">
        <w:r w:rsidDel="00000000" w:rsidR="00000000" w:rsidRPr="00000000">
          <w:rPr>
            <w:rFonts w:ascii="Calibri" w:cs="Calibri" w:eastAsia="Calibri" w:hAnsi="Calibri"/>
            <w:color w:val="1155cc"/>
            <w:sz w:val="22"/>
            <w:szCs w:val="22"/>
            <w:u w:val="single"/>
            <w:rtl w:val="0"/>
          </w:rPr>
          <w:t xml:space="preserve">Utah Arts &amp; Museums Traveling Exhibition Program</w:t>
        </w:r>
      </w:hyperlink>
      <w:r w:rsidDel="00000000" w:rsidR="00000000" w:rsidRPr="00000000">
        <w:rPr>
          <w:rFonts w:ascii="Calibri" w:cs="Calibri" w:eastAsia="Calibri" w:hAnsi="Calibri"/>
          <w:sz w:val="22"/>
          <w:szCs w:val="22"/>
          <w:rtl w:val="0"/>
        </w:rPr>
        <w:t xml:space="preserve">, from [START DATE] through [END DATE] at [LOCATION]. This collection stems from the Salt Lake Seven, a group of photographers committed to monthly peer critiques that achieve cohesive exhibitions and enhance individual vision. </w:t>
      </w:r>
      <w:r w:rsidDel="00000000" w:rsidR="00000000" w:rsidRPr="00000000">
        <w:rPr>
          <w:rtl w:val="0"/>
        </w:rPr>
      </w:r>
    </w:p>
    <w:p w:rsidR="00000000" w:rsidDel="00000000" w:rsidP="00000000" w:rsidRDefault="00000000" w:rsidRPr="00000000" w14:paraId="00000009">
      <w:pPr>
        <w:spacing w:line="32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A">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How can individual artists contribute to an exhibition and share resonance yet shine with personal style? Photographer Kent Miles started the Salt Lake Seven (SL7) to address these barriers by creating a trusted community of photographic artists. </w:t>
      </w:r>
    </w:p>
    <w:p w:rsidR="00000000" w:rsidDel="00000000" w:rsidP="00000000" w:rsidRDefault="00000000" w:rsidRPr="00000000" w14:paraId="0000000B">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C">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“Great things happen when a small group of committed practitioners of any art form gather on a regular basis to show their work and share their ideas,” </w:t>
      </w:r>
      <w:hyperlink r:id="rId8">
        <w:r w:rsidDel="00000000" w:rsidR="00000000" w:rsidRPr="00000000">
          <w:rPr>
            <w:rFonts w:ascii="Calibri" w:cs="Calibri" w:eastAsia="Calibri" w:hAnsi="Calibri"/>
            <w:color w:val="1155cc"/>
            <w:sz w:val="22"/>
            <w:szCs w:val="22"/>
            <w:u w:val="single"/>
            <w:rtl w:val="0"/>
          </w:rPr>
          <w:t xml:space="preserve">says Miles</w:t>
        </w:r>
      </w:hyperlink>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0D">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evolving SL7 has met monthly with Miles for 25 years to discuss digital and analog image captures. Initially a group of seven people, the number “7” is retained in the name for its symbolic association with completion. Group members receive instruction, mutual critique, and support to pursue individual work, which results in resonance that is effective for exhibitions. </w:t>
      </w:r>
    </w:p>
    <w:p w:rsidR="00000000" w:rsidDel="00000000" w:rsidP="00000000" w:rsidRDefault="00000000" w:rsidRPr="00000000" w14:paraId="0000000F">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0">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Regular participation is mandatory and “one of the great secrets of success for groups such as this,” </w:t>
      </w:r>
      <w:hyperlink r:id="rId9">
        <w:r w:rsidDel="00000000" w:rsidR="00000000" w:rsidRPr="00000000">
          <w:rPr>
            <w:rFonts w:ascii="Calibri" w:cs="Calibri" w:eastAsia="Calibri" w:hAnsi="Calibri"/>
            <w:color w:val="1155cc"/>
            <w:sz w:val="22"/>
            <w:szCs w:val="22"/>
            <w:u w:val="single"/>
            <w:rtl w:val="0"/>
          </w:rPr>
          <w:t xml:space="preserve">mentions Miles</w:t>
        </w:r>
      </w:hyperlink>
      <w:r w:rsidDel="00000000" w:rsidR="00000000" w:rsidRPr="00000000">
        <w:rPr>
          <w:rFonts w:ascii="Calibri" w:cs="Calibri" w:eastAsia="Calibri" w:hAnsi="Calibri"/>
          <w:sz w:val="22"/>
          <w:szCs w:val="22"/>
          <w:rtl w:val="0"/>
        </w:rPr>
        <w:t xml:space="preserve">. As a community sounding board, these photographers help each other recognize good and bad work. They push each other to take chances, grow, and try new things.</w:t>
      </w:r>
    </w:p>
    <w:p w:rsidR="00000000" w:rsidDel="00000000" w:rsidP="00000000" w:rsidRDefault="00000000" w:rsidRPr="00000000" w14:paraId="00000011">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2">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Eyes Have It” features prints in silver gelatin, traditional, alternative, and digital/archival ink printing methods. The exhibition includes artworks by Brian Buroker, Laurel Casjens, P. Kent Fairbanks, Kathy Gardner, Hunter Jackson, Kent Miles, Steve Proctor, and Ike Sanders. View t</w:t>
      </w:r>
      <w:r w:rsidDel="00000000" w:rsidR="00000000" w:rsidRPr="00000000">
        <w:rPr>
          <w:rFonts w:ascii="Calibri" w:cs="Calibri" w:eastAsia="Calibri" w:hAnsi="Calibri"/>
          <w:sz w:val="22"/>
          <w:szCs w:val="22"/>
          <w:rtl w:val="0"/>
        </w:rPr>
        <w:t xml:space="preserve">his exhibition at [LOCATION], [STREET ADDRESS, CITY] from [START DATE] to [END DATE]. [LOCATION] is open [DAYS OPEN] from [OPENING TIME] to [CLOSING TIME]. For more information on viewing the exhibition, please call [PHONE NUMBER] or go to [WEB ADDRESS]. </w:t>
      </w:r>
    </w:p>
    <w:p w:rsidR="00000000" w:rsidDel="00000000" w:rsidP="00000000" w:rsidRDefault="00000000" w:rsidRPr="00000000" w14:paraId="0000001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s>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6">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About Utah Division of Arts &amp; Museums Traveling Exhibition Program</w:t>
      </w:r>
      <w:r w:rsidDel="00000000" w:rsidR="00000000" w:rsidRPr="00000000">
        <w:rPr>
          <w:b w:val="1"/>
          <w:bCs w:val="1"/>
          <w:u w:val="single"/>
          <w:rtl w:val="0"/>
        </w:rPr>
        <w:br w:type="textWrapping"/>
      </w:r>
      <w:hyperlink r:id="rId10">
        <w:r w:rsidDel="00000000" w:rsidR="00000000" w:rsidRPr="00000000">
          <w:rPr>
            <w:rFonts w:ascii="Calibri" w:cs="Calibri" w:eastAsia="Calibri" w:hAnsi="Calibri"/>
            <w:color w:val="1155cc"/>
            <w:sz w:val="22"/>
            <w:szCs w:val="22"/>
            <w:u w:val="single"/>
            <w:rtl w:val="0"/>
          </w:rPr>
          <w:t xml:space="preserve">Utah Arts &amp; Museums Traveling Exhibition Program</w:t>
        </w:r>
      </w:hyperlink>
      <w:r w:rsidDel="00000000" w:rsidR="00000000" w:rsidRPr="00000000">
        <w:rPr>
          <w:rFonts w:ascii="Calibri" w:cs="Calibri" w:eastAsia="Calibri" w:hAnsi="Calibri"/>
          <w:sz w:val="22"/>
          <w:szCs w:val="22"/>
          <w:rtl w:val="0"/>
        </w:rPr>
        <w:t xml:space="preserve"> is a statewide outreach program that provides schools, museums, libraries, and community galleries with the opportunity to bring curated exhibitions to their communities. This program is supported in part by a grant from the National Endowment for the Arts. For more information on participating in the program, please contact Fletcher Booth at </w:t>
      </w:r>
      <w:hyperlink r:id="rId11">
        <w:r w:rsidDel="00000000" w:rsidR="00000000" w:rsidRPr="00000000">
          <w:rPr>
            <w:rFonts w:ascii="Calibri" w:cs="Calibri" w:eastAsia="Calibri" w:hAnsi="Calibri"/>
            <w:color w:val="0000ff"/>
            <w:sz w:val="22"/>
            <w:szCs w:val="22"/>
            <w:highlight w:val="white"/>
            <w:u w:val="single"/>
            <w:rtl w:val="0"/>
          </w:rPr>
          <w:t xml:space="preserve">fbooth@utah.gov</w:t>
        </w:r>
      </w:hyperlink>
      <w:r w:rsidDel="00000000" w:rsidR="00000000" w:rsidRPr="00000000">
        <w:rPr>
          <w:rFonts w:ascii="Calibri" w:cs="Calibri" w:eastAsia="Calibri" w:hAnsi="Calibri"/>
          <w:sz w:val="22"/>
          <w:szCs w:val="22"/>
          <w:highlight w:val="white"/>
          <w:rtl w:val="0"/>
        </w:rPr>
        <w:t xml:space="preserve"> o</w:t>
      </w:r>
      <w:r w:rsidDel="00000000" w:rsidR="00000000" w:rsidRPr="00000000">
        <w:rPr>
          <w:rFonts w:ascii="Calibri" w:cs="Calibri" w:eastAsia="Calibri" w:hAnsi="Calibri"/>
          <w:sz w:val="22"/>
          <w:szCs w:val="22"/>
          <w:rtl w:val="0"/>
        </w:rPr>
        <w:t xml:space="preserve">r 801.824.9177. </w:t>
      </w:r>
    </w:p>
    <w:p w:rsidR="00000000" w:rsidDel="00000000" w:rsidP="00000000" w:rsidRDefault="00000000" w:rsidRPr="00000000" w14:paraId="0000001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About Utah Division of Arts &amp; Museums</w:t>
      </w:r>
    </w:p>
    <w:p w:rsidR="00000000" w:rsidDel="00000000" w:rsidP="00000000" w:rsidRDefault="00000000" w:rsidRPr="00000000" w14:paraId="0000001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Utah Division of Arts &amp; Museums is a division of the Utah Department of Cultural &amp; Community Engagement. Utah Arts &amp; Museums seeks to advance Utahns’ quality of life through arts and museum experiences and cultural opportunities. We are a service organization offering a variety of professional development opportunities and funding to schools, local arts agencies, organizations, municipalities, community centers, performing groups, museums, and individuals across Utah. Additional information can be found at </w:t>
      </w:r>
      <w:hyperlink r:id="rId12">
        <w:r w:rsidDel="00000000" w:rsidR="00000000" w:rsidRPr="00000000">
          <w:rPr>
            <w:rFonts w:ascii="Calibri" w:cs="Calibri" w:eastAsia="Calibri" w:hAnsi="Calibri"/>
            <w:color w:val="0000ff"/>
            <w:sz w:val="22"/>
            <w:szCs w:val="22"/>
            <w:u w:val="single"/>
            <w:rtl w:val="0"/>
          </w:rPr>
          <w:t xml:space="preserve">artsandmuseums.utah.gov</w:t>
        </w:r>
      </w:hyperlink>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1A">
      <w:pPr>
        <w:rPr>
          <w:rFonts w:ascii="Calibri" w:cs="Calibri" w:eastAsia="Calibri" w:hAnsi="Calibri"/>
          <w:sz w:val="22"/>
          <w:szCs w:val="22"/>
        </w:rPr>
      </w:pPr>
      <w:r w:rsidDel="00000000" w:rsidR="00000000" w:rsidRPr="00000000">
        <w:rPr>
          <w:rtl w:val="0"/>
        </w:rPr>
      </w:r>
    </w:p>
    <w:sectPr>
      <w:pgSz w:h="15840" w:w="12240" w:orient="portrait"/>
      <w:pgMar w:bottom="907" w:top="994" w:left="1440" w:right="1440" w:header="144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1)"/>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s>
      <w:spacing w:line="435" w:lineRule="auto"/>
    </w:pPr>
    <w:rPr>
      <w:rFonts w:ascii="Arial (W1)" w:cs="Arial (W1)" w:eastAsia="Arial (W1)" w:hAnsi="Arial (W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s>
      <w:spacing w:line="435" w:lineRule="auto"/>
    </w:pPr>
    <w:rPr>
      <w:rFonts w:ascii="Arial (W1)" w:cs="Arial (W1)" w:eastAsia="Arial (W1)" w:hAnsi="Arial (W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widowControl w:val="0"/>
      <w:autoSpaceDE w:val="0"/>
      <w:autoSpaceDN w:val="0"/>
      <w:adjustRightInd w:val="0"/>
    </w:pPr>
    <w:rPr>
      <w:szCs w:val="24"/>
    </w:rPr>
  </w:style>
  <w:style w:type="paragraph" w:styleId="Heading1">
    <w:name w:val="heading 1"/>
    <w:basedOn w:val="Normal"/>
    <w:next w:val="Normal"/>
    <w:qFormat w:val="1"/>
    <w:pPr>
      <w:keepNext w:val="1"/>
      <w:tabs>
        <w:tab w:val="left" w:pos="0"/>
        <w:tab w:val="left" w:pos="720"/>
        <w:tab w:val="left" w:pos="1440"/>
        <w:tab w:val="left" w:pos="2160"/>
        <w:tab w:val="left" w:pos="2880"/>
        <w:tab w:val="left" w:pos="3600"/>
        <w:tab w:val="left" w:pos="4320"/>
        <w:tab w:val="left" w:pos="5040"/>
        <w:tab w:val="left" w:pos="5760"/>
        <w:tab w:val="left" w:pos="6480"/>
      </w:tabs>
      <w:spacing w:line="435" w:lineRule="auto"/>
      <w:outlineLvl w:val="0"/>
    </w:pPr>
    <w:rPr>
      <w:rFonts w:ascii="Arial (W1)" w:cs="Arial" w:hAnsi="Arial (W1)"/>
      <w:bCs w:val="1"/>
      <w:sz w:val="24"/>
      <w:szCs w:val="25"/>
    </w:rPr>
  </w:style>
  <w:style w:type="character" w:styleId="DefaultParagraphFont" w:default="1">
    <w:name w:val="Default Paragraph Font"/>
    <w:semiHidden w:val="1"/>
  </w:style>
  <w:style w:type="table" w:styleId="TableNormal" w:default="1">
    <w:name w:val="Normal Table"/>
    <w:semiHidden w:val="1"/>
    <w:tblPr>
      <w:tblInd w:w="0.0" w:type="dxa"/>
      <w:tblCellMar>
        <w:top w:w="0.0" w:type="dxa"/>
        <w:left w:w="108.0" w:type="dxa"/>
        <w:bottom w:w="0.0" w:type="dxa"/>
        <w:right w:w="108.0" w:type="dxa"/>
      </w:tblCellMar>
    </w:tblPr>
  </w:style>
  <w:style w:type="numbering" w:styleId="NoList" w:default="1">
    <w:name w:val="No List"/>
    <w:semiHidden w:val="1"/>
  </w:style>
  <w:style w:type="character" w:styleId="FootnoteReference">
    <w:name w:val="footnote reference"/>
    <w:semiHidden w:val="1"/>
  </w:style>
  <w:style w:type="character" w:styleId="Hyperlink">
    <w:name w:val="Hyperlink"/>
    <w:basedOn w:val="DefaultParagraphFont"/>
    <w:rPr>
      <w:color w:val="0000ff"/>
      <w:u w:val="single"/>
    </w:rPr>
  </w:style>
  <w:style w:type="paragraph" w:styleId="BodyText">
    <w:name w:val="Body Text"/>
    <w:basedOn w:val="Normal"/>
    <w:pPr>
      <w:tabs>
        <w:tab w:val="left" w:pos="0"/>
        <w:tab w:val="left" w:pos="720"/>
        <w:tab w:val="left" w:pos="1440"/>
        <w:tab w:val="left" w:pos="2160"/>
        <w:tab w:val="left" w:pos="2880"/>
        <w:tab w:val="left" w:pos="3600"/>
        <w:tab w:val="left" w:pos="4320"/>
        <w:tab w:val="left" w:pos="5040"/>
        <w:tab w:val="left" w:pos="5760"/>
        <w:tab w:val="left" w:pos="6480"/>
      </w:tabs>
      <w:spacing w:line="326" w:lineRule="auto"/>
      <w:jc w:val="both"/>
    </w:pPr>
    <w:rPr>
      <w:rFonts w:cs="Arial"/>
      <w:bCs w:val="1"/>
      <w:sz w:val="24"/>
    </w:rPr>
  </w:style>
  <w:style w:type="paragraph" w:styleId="BodyText2">
    <w:name w:val="Body Text 2"/>
    <w:basedOn w:val="Normal"/>
    <w:pPr>
      <w:tabs>
        <w:tab w:val="left" w:pos="0"/>
        <w:tab w:val="left" w:pos="720"/>
        <w:tab w:val="left" w:pos="1440"/>
        <w:tab w:val="left" w:pos="2160"/>
        <w:tab w:val="left" w:pos="2880"/>
        <w:tab w:val="left" w:pos="3600"/>
        <w:tab w:val="left" w:pos="4320"/>
        <w:tab w:val="left" w:pos="5040"/>
        <w:tab w:val="left" w:pos="5760"/>
        <w:tab w:val="left" w:pos="6480"/>
      </w:tabs>
      <w:spacing w:line="217" w:lineRule="auto"/>
    </w:pPr>
    <w:rPr>
      <w:rFonts w:ascii="Arial (W1)" w:cs="Arial" w:hAnsi="Arial (W1)"/>
      <w:b w:val="1"/>
      <w:bCs w:val="1"/>
      <w:i w:val="1"/>
      <w:iCs w:val="1"/>
    </w:rPr>
  </w:style>
  <w:style w:type="paragraph" w:styleId="DefinitionT" w:customStyle="1">
    <w:name w:val="Definition T"/>
    <w:rsid w:val="008662D3"/>
    <w:pPr>
      <w:widowControl w:val="0"/>
      <w:autoSpaceDE w:val="0"/>
      <w:autoSpaceDN w:val="0"/>
      <w:adjustRightInd w:val="0"/>
    </w:pPr>
    <w:rPr>
      <w:sz w:val="24"/>
      <w:szCs w:val="24"/>
    </w:rPr>
  </w:style>
  <w:style w:type="paragraph" w:styleId="Default" w:customStyle="1">
    <w:name w:val="Default"/>
    <w:rsid w:val="00A95EA2"/>
    <w:pPr>
      <w:autoSpaceDE w:val="0"/>
      <w:autoSpaceDN w:val="0"/>
      <w:adjustRightInd w:val="0"/>
    </w:pPr>
    <w:rPr>
      <w:rFonts w:ascii="Bookman Old Style" w:cs="Bookman Old Style" w:eastAsia="Calibri" w:hAnsi="Bookman Old Style"/>
      <w:color w:val="000000"/>
      <w:sz w:val="24"/>
      <w:szCs w:val="24"/>
    </w:rPr>
  </w:style>
  <w:style w:type="paragraph" w:styleId="NormalWeb">
    <w:name w:val="Normal (Web)"/>
    <w:basedOn w:val="Normal"/>
    <w:uiPriority w:val="99"/>
    <w:unhideWhenUsed w:val="1"/>
    <w:rsid w:val="00A95EA2"/>
    <w:pPr>
      <w:widowControl w:val="1"/>
      <w:autoSpaceDE w:val="1"/>
      <w:autoSpaceDN w:val="1"/>
      <w:adjustRightInd w:val="1"/>
      <w:spacing w:after="100" w:afterAutospacing="1" w:before="100" w:beforeAutospacing="1"/>
    </w:pPr>
    <w:rPr>
      <w:sz w:val="24"/>
    </w:rPr>
  </w:style>
  <w:style w:type="character" w:styleId="Emphasis">
    <w:name w:val="Emphasis"/>
    <w:uiPriority w:val="20"/>
    <w:qFormat w:val="1"/>
    <w:rsid w:val="00A95EA2"/>
    <w:rPr>
      <w:i w:val="1"/>
      <w:i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fbooth@utah.gov" TargetMode="External"/><Relationship Id="rId10" Type="http://schemas.openxmlformats.org/officeDocument/2006/relationships/hyperlink" Target="https://artsandmuseums.utah.gov/traveling-exhibitions/" TargetMode="External"/><Relationship Id="rId12" Type="http://schemas.openxmlformats.org/officeDocument/2006/relationships/hyperlink" Target="http://www.artsandmuseums.utah.gov" TargetMode="External"/><Relationship Id="rId9" Type="http://schemas.openxmlformats.org/officeDocument/2006/relationships/hyperlink" Target="https://www.pictureline.com/blogs/archive/focus-on-photographers-kent-miles#:~:text=This%20seems%20to%20be%20one%20of%20the%20great%20secrets%20of%20success%20for%20groups%20such%20as%20this%20%E2%80%93%20regular%20participati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artsandmuseums.utah.gov/traveling-exhibitions/" TargetMode="External"/><Relationship Id="rId8" Type="http://schemas.openxmlformats.org/officeDocument/2006/relationships/hyperlink" Target="https://www.pictureline.com/blogs/archive/focus-on-photographers-kent-miles#:~:text=Great%20things%20happen%20when%20a%20small%20group%20of%20committed%20practitioners%20of%20any%20art%20form%20gather%20on%20a%20regular%20basis%20to%20show%20their%20work%20and%20share%20their%20ideas.%C2%A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fOCiOsmkV6bg6hotT7LcR77I8w==">CgMxLjAyDmguODQ0bTBtN28ycDlkMg5oLnhocDN0OHM5dWl4dDgAciExZ2tBMmd6eEdDNThvRUtla1U0WUVzTFk0Y2pJS2Q1V1g=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2018-12-12T18:12:00Z</dcterms:created>
  <dc:creator>aleduc</dc:creator>
</cp:coreProperties>
</file>