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Immediate Release</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NAME, TITLE}</w:t>
        <w:br w:type="textWrapping"/>
        <w:t xml:space="preserve">{ORGANIZATION}</w:t>
        <w:br w:type="textWrapping"/>
        <w:t xml:space="preserve">{PHONE} {EMAIL}</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Celebrate 100 Years of Utah Film and Television starting [START DATE] at [LOCATION]</w:t>
      </w:r>
    </w:p>
    <w:p w:rsidR="00000000" w:rsidDel="00000000" w:rsidP="00000000" w:rsidRDefault="00000000" w:rsidRPr="00000000" w14:paraId="00000007">
      <w:pPr>
        <w:spacing w:line="217"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[CITY] — [ORGANIZATION] presents “</w:t>
      </w:r>
      <w:r w:rsidDel="00000000" w:rsidR="00000000" w:rsidRPr="00000000">
        <w:rPr>
          <w:rFonts w:ascii="Calibri" w:cs="Calibri" w:eastAsia="Calibri" w:hAnsi="Calibri"/>
          <w:b w:val="1"/>
          <w:color w:val="0e101a"/>
          <w:sz w:val="22"/>
          <w:szCs w:val="22"/>
          <w:rtl w:val="0"/>
        </w:rPr>
        <w:t xml:space="preserve">Utah. America’s Film Set.Ⓡ</w:t>
      </w:r>
      <w:r w:rsidDel="00000000" w:rsidR="00000000" w:rsidRPr="00000000">
        <w:rPr>
          <w:rFonts w:ascii="Calibri" w:cs="Calibri" w:eastAsia="Calibri" w:hAnsi="Calibri"/>
          <w:color w:val="0e101a"/>
          <w:sz w:val="22"/>
          <w:szCs w:val="22"/>
          <w:rtl w:val="0"/>
        </w:rPr>
        <w:t xml:space="preserve">” a</w:t>
      </w:r>
      <w:hyperlink r:id="rId7">
        <w:r w:rsidDel="00000000" w:rsidR="00000000" w:rsidRPr="00000000">
          <w:rPr>
            <w:rFonts w:ascii="Calibri" w:cs="Calibri" w:eastAsia="Calibri" w:hAnsi="Calibri"/>
            <w:color w:val="0e101a"/>
            <w:sz w:val="22"/>
            <w:szCs w:val="22"/>
            <w:rtl w:val="0"/>
          </w:rPr>
          <w:t xml:space="preserve"> </w:t>
        </w:r>
      </w:hyperlink>
      <w:hyperlink r:id="rId8">
        <w:r w:rsidDel="00000000" w:rsidR="00000000" w:rsidRPr="00000000">
          <w:rPr>
            <w:rFonts w:ascii="Calibri" w:cs="Calibri" w:eastAsia="Calibri" w:hAnsi="Calibri"/>
            <w:color w:val="4a6ee0"/>
            <w:sz w:val="22"/>
            <w:szCs w:val="22"/>
            <w:u w:val="single"/>
            <w:rtl w:val="0"/>
          </w:rPr>
          <w:t xml:space="preserve">Utah Arts &amp; Museums Traveling Exhibition Program</w:t>
        </w:r>
      </w:hyperlink>
      <w:r w:rsidDel="00000000" w:rsidR="00000000" w:rsidRPr="00000000">
        <w:rPr>
          <w:rFonts w:ascii="Calibri" w:cs="Calibri" w:eastAsia="Calibri" w:hAnsi="Calibri"/>
          <w:color w:val="0e101a"/>
          <w:sz w:val="22"/>
          <w:szCs w:val="22"/>
          <w:rtl w:val="0"/>
        </w:rPr>
        <w:t xml:space="preserve">, from [START DATE] through [END DATE] at [LOCATION]. Many cities and counties around the state share a part of our early filmmaking history. This 100th-anniversary exhibition celebrates all the people, locations, and productions that have made Utah. America’s Film Set.Ⓡ</w:t>
      </w:r>
    </w:p>
    <w:p w:rsidR="00000000" w:rsidDel="00000000" w:rsidP="00000000" w:rsidRDefault="00000000" w:rsidRPr="00000000" w14:paraId="00000009">
      <w:pPr>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The first movies filmed in Utah, “The Covered Wagon” and “The Deadwood Coach,” premiered in 1924. The </w:t>
      </w:r>
      <w:hyperlink r:id="rId9">
        <w:r w:rsidDel="00000000" w:rsidR="00000000" w:rsidRPr="00000000">
          <w:rPr>
            <w:rFonts w:ascii="Calibri" w:cs="Calibri" w:eastAsia="Calibri" w:hAnsi="Calibri"/>
            <w:color w:val="1155cc"/>
            <w:sz w:val="22"/>
            <w:szCs w:val="22"/>
            <w:u w:val="single"/>
            <w:rtl w:val="0"/>
          </w:rPr>
          <w:t xml:space="preserve">Utah Film Commission</w:t>
        </w:r>
      </w:hyperlink>
      <w:r w:rsidDel="00000000" w:rsidR="00000000" w:rsidRPr="00000000">
        <w:rPr>
          <w:rFonts w:ascii="Calibri" w:cs="Calibri" w:eastAsia="Calibri" w:hAnsi="Calibri"/>
          <w:color w:val="0e101a"/>
          <w:sz w:val="22"/>
          <w:szCs w:val="22"/>
          <w:rtl w:val="0"/>
        </w:rPr>
        <w:t xml:space="preserve"> was formed 50 years later, in 1974. Curated with the Utah Film Commission as an extension of the 2024 commemoration, 100 Years of Utah Film &amp; Television, this exhibition presents photographs and stories celebrating cinematic moments in Utah’s communities. The Utah Historical Film Trail, a component of the exhibition, presents a timeline illustrating landscapes that have attracted some of the most accomplished filmmakers to Utah. </w:t>
      </w:r>
    </w:p>
    <w:p w:rsidR="00000000" w:rsidDel="00000000" w:rsidP="00000000" w:rsidRDefault="00000000" w:rsidRPr="00000000" w14:paraId="0000000B">
      <w:pPr>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“Utah’s splendor is undeniable, and its century-long journey in film is a testament to that. Unparalleled scenery, breathtaking landscapes, and a vibrant creative community are what drew me to this region,” said Hollywood icon Kevin Costner, who has filmed numerous projects in Utah.</w:t>
      </w:r>
    </w:p>
    <w:p w:rsidR="00000000" w:rsidDel="00000000" w:rsidP="00000000" w:rsidRDefault="00000000" w:rsidRPr="00000000" w14:paraId="0000000D">
      <w:pPr>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Film has contributed billions of dollars to the state’s economy, drawing in visitors, jobs, and production spending. Thousands of productions have been filmed in Utah, including “Butch Cassidy and the Sundance Kid,” “Thelma &amp; Louise,” and “127 Hours.” Many episodic series have also been filmed in Utah, such as “Yellowstone,” “High School Musical: The Musical: The Series,” and “Westworld.” </w:t>
      </w:r>
    </w:p>
    <w:p w:rsidR="00000000" w:rsidDel="00000000" w:rsidP="00000000" w:rsidRDefault="00000000" w:rsidRPr="00000000" w14:paraId="0000000F">
      <w:pPr>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Experience “Utah. America’s Film Set.Ⓡ” at [LOCATION], [STREET ADDRESS, CITY] from [START DATE] to [END DATE]. [LOCATION] is open [DAYS OPEN] from [OPENING TIME] to [CLOSING TIME]. For more information on viewing the exhibition, please call [PHONE NUMBER] or go to [WEB ADDRESS].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About Utah Division of Arts &amp; Museums Traveling Exhibition Program</w:t>
      </w:r>
      <w:r w:rsidDel="00000000" w:rsidR="00000000" w:rsidRPr="00000000">
        <w:rPr>
          <w:b w:val="1"/>
          <w:u w:val="single"/>
          <w:rtl w:val="0"/>
        </w:rPr>
        <w:br w:type="textWrapping"/>
      </w:r>
      <w:hyperlink r:id="rId10">
        <w:r w:rsidDel="00000000" w:rsidR="00000000" w:rsidRPr="00000000">
          <w:rPr>
            <w:rFonts w:ascii="Calibri" w:cs="Calibri" w:eastAsia="Calibri" w:hAnsi="Calibri"/>
            <w:color w:val="1155cc"/>
            <w:sz w:val="22"/>
            <w:szCs w:val="22"/>
            <w:u w:val="single"/>
            <w:rtl w:val="0"/>
          </w:rPr>
          <w:t xml:space="preserve">Utah Arts &amp; Museums Traveling Exhibition Program</w:t>
        </w:r>
      </w:hyperlink>
      <w:r w:rsidDel="00000000" w:rsidR="00000000" w:rsidRPr="00000000">
        <w:rPr>
          <w:rFonts w:ascii="Calibri" w:cs="Calibri" w:eastAsia="Calibri" w:hAnsi="Calibri"/>
          <w:sz w:val="22"/>
          <w:szCs w:val="22"/>
          <w:rtl w:val="0"/>
        </w:rPr>
        <w:t xml:space="preserve"> is a statewide outreach program that provides schools, museums, libraries, and community galleries with the opportunity to bring curated exhibitions to their communities. This program is supported in part by a grant from the National Endowment for the Arts. For more information on participating in the program, please contact Fletcher Booth at </w:t>
      </w:r>
      <w:hyperlink r:id="rId11">
        <w:r w:rsidDel="00000000" w:rsidR="00000000" w:rsidRPr="00000000">
          <w:rPr>
            <w:rFonts w:ascii="Calibri" w:cs="Calibri" w:eastAsia="Calibri" w:hAnsi="Calibri"/>
            <w:color w:val="1155cc"/>
            <w:sz w:val="22"/>
            <w:szCs w:val="22"/>
            <w:highlight w:val="white"/>
            <w:u w:val="single"/>
            <w:rtl w:val="0"/>
          </w:rPr>
          <w:t xml:space="preserve">fbooth@utah.gov</w:t>
        </w:r>
      </w:hyperlink>
      <w:r w:rsidDel="00000000" w:rsidR="00000000" w:rsidRPr="00000000">
        <w:rPr>
          <w:rFonts w:ascii="Calibri" w:cs="Calibri" w:eastAsia="Calibri" w:hAnsi="Calibri"/>
          <w:sz w:val="22"/>
          <w:szCs w:val="22"/>
          <w:highlight w:val="white"/>
          <w:rtl w:val="0"/>
        </w:rPr>
        <w:t xml:space="preserve"> o</w:t>
      </w:r>
      <w:r w:rsidDel="00000000" w:rsidR="00000000" w:rsidRPr="00000000">
        <w:rPr>
          <w:rFonts w:ascii="Calibri" w:cs="Calibri" w:eastAsia="Calibri" w:hAnsi="Calibri"/>
          <w:sz w:val="22"/>
          <w:szCs w:val="22"/>
          <w:rtl w:val="0"/>
        </w:rPr>
        <w:t xml:space="preserve">r 801.824.9177. For media inquiries, please contact Ellen Weist at </w:t>
      </w:r>
      <w:hyperlink r:id="rId12">
        <w:r w:rsidDel="00000000" w:rsidR="00000000" w:rsidRPr="00000000">
          <w:rPr>
            <w:rFonts w:ascii="Calibri" w:cs="Calibri" w:eastAsia="Calibri" w:hAnsi="Calibri"/>
            <w:color w:val="1155cc"/>
            <w:sz w:val="22"/>
            <w:szCs w:val="22"/>
            <w:u w:val="single"/>
            <w:rtl w:val="0"/>
          </w:rPr>
          <w:t xml:space="preserve">eweist@utah.gov</w:t>
        </w:r>
      </w:hyperlink>
      <w:r w:rsidDel="00000000" w:rsidR="00000000" w:rsidRPr="00000000">
        <w:rPr>
          <w:rFonts w:ascii="Calibri" w:cs="Calibri" w:eastAsia="Calibri" w:hAnsi="Calibri"/>
          <w:sz w:val="22"/>
          <w:szCs w:val="22"/>
          <w:rtl w:val="0"/>
        </w:rPr>
        <w:t xml:space="preserve"> or 503.490.4806. </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Utah Division of Arts &amp; Museums</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Utah Division of Arts &amp; Museums is a division of the Utah Department of Cultural &amp; Community Engagement. Utah Arts &amp; Museums seeks to advance Utahns’ quality of life through arts and museum</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experiences and cultural opportunities. We are a service organization offering a variety of professional development opportunities and funding to schools, local arts agencies, organizations, municipalities, community centers, performing groups, museums, and individuals across Utah. Additional information can be found at </w:t>
      </w:r>
      <w:hyperlink r:id="rId13">
        <w:r w:rsidDel="00000000" w:rsidR="00000000" w:rsidRPr="00000000">
          <w:rPr>
            <w:rFonts w:ascii="Calibri" w:cs="Calibri" w:eastAsia="Calibri" w:hAnsi="Calibri"/>
            <w:color w:val="1155cc"/>
            <w:sz w:val="22"/>
            <w:szCs w:val="22"/>
            <w:u w:val="single"/>
            <w:rtl w:val="0"/>
          </w:rPr>
          <w:t xml:space="preserve">artsandmuseums.utah.gov</w:t>
        </w:r>
      </w:hyperlink>
      <w:r w:rsidDel="00000000" w:rsidR="00000000" w:rsidRPr="00000000">
        <w:rPr>
          <w:rFonts w:ascii="Calibri" w:cs="Calibri" w:eastAsia="Calibri" w:hAnsi="Calibri"/>
          <w:sz w:val="22"/>
          <w:szCs w:val="22"/>
          <w:rtl w:val="0"/>
        </w:rPr>
        <w:t xml:space="preserve">.  </w:t>
      </w:r>
    </w:p>
    <w:sectPr>
      <w:pgSz w:h="15840" w:w="12240" w:orient="portrait"/>
      <w:pgMar w:bottom="907" w:top="994"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1)"/>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line="435" w:lineRule="auto"/>
    </w:pPr>
    <w:rPr>
      <w:rFonts w:ascii="Arial (W1)" w:cs="Arial (W1)" w:eastAsia="Arial (W1)" w:hAnsi="Arial (W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line="435" w:lineRule="auto"/>
    </w:pPr>
    <w:rPr>
      <w:rFonts w:ascii="Arial (W1)" w:cs="Arial (W1)" w:eastAsia="Arial (W1)" w:hAnsi="Arial (W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Cs w:val="24"/>
    </w:rPr>
  </w:style>
  <w:style w:type="paragraph" w:styleId="Heading1">
    <w:name w:val="heading 1"/>
    <w:basedOn w:val="Normal"/>
    <w:next w:val="Normal"/>
    <w:qFormat w:val="1"/>
    <w:pPr>
      <w:keepNext w:val="1"/>
      <w:tabs>
        <w:tab w:val="left" w:pos="0"/>
        <w:tab w:val="left" w:pos="720"/>
        <w:tab w:val="left" w:pos="1440"/>
        <w:tab w:val="left" w:pos="2160"/>
        <w:tab w:val="left" w:pos="2880"/>
        <w:tab w:val="left" w:pos="3600"/>
        <w:tab w:val="left" w:pos="4320"/>
        <w:tab w:val="left" w:pos="5040"/>
        <w:tab w:val="left" w:pos="5760"/>
        <w:tab w:val="left" w:pos="6480"/>
      </w:tabs>
      <w:spacing w:line="435" w:lineRule="auto"/>
      <w:outlineLvl w:val="0"/>
    </w:pPr>
    <w:rPr>
      <w:rFonts w:ascii="Arial (W1)" w:cs="Arial" w:hAnsi="Arial (W1)"/>
      <w:bCs w:val="1"/>
      <w:sz w:val="24"/>
      <w:szCs w:val="25"/>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FootnoteReference">
    <w:name w:val="footnote reference"/>
    <w:semiHidden w:val="1"/>
  </w:style>
  <w:style w:type="character" w:styleId="Hyperlink">
    <w:name w:val="Hyperlink"/>
    <w:basedOn w:val="DefaultParagraphFont"/>
    <w:rPr>
      <w:color w:val="0000ff"/>
      <w:u w:val="single"/>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s>
      <w:spacing w:line="326" w:lineRule="auto"/>
      <w:jc w:val="both"/>
    </w:pPr>
    <w:rPr>
      <w:rFonts w:cs="Arial"/>
      <w:bCs w:val="1"/>
      <w:sz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s>
      <w:spacing w:line="217" w:lineRule="auto"/>
    </w:pPr>
    <w:rPr>
      <w:rFonts w:ascii="Arial (W1)" w:cs="Arial" w:hAnsi="Arial (W1)"/>
      <w:b w:val="1"/>
      <w:bCs w:val="1"/>
      <w:i w:val="1"/>
      <w:iCs w:val="1"/>
    </w:rPr>
  </w:style>
  <w:style w:type="paragraph" w:styleId="DefinitionT" w:customStyle="1">
    <w:name w:val="Definition T"/>
    <w:rsid w:val="008662D3"/>
    <w:pPr>
      <w:widowControl w:val="0"/>
      <w:autoSpaceDE w:val="0"/>
      <w:autoSpaceDN w:val="0"/>
      <w:adjustRightInd w:val="0"/>
    </w:pPr>
    <w:rPr>
      <w:sz w:val="24"/>
      <w:szCs w:val="24"/>
    </w:rPr>
  </w:style>
  <w:style w:type="paragraph" w:styleId="Default" w:customStyle="1">
    <w:name w:val="Default"/>
    <w:rsid w:val="00A95EA2"/>
    <w:pPr>
      <w:autoSpaceDE w:val="0"/>
      <w:autoSpaceDN w:val="0"/>
      <w:adjustRightInd w:val="0"/>
    </w:pPr>
    <w:rPr>
      <w:rFonts w:ascii="Bookman Old Style" w:cs="Bookman Old Style" w:eastAsia="Calibri" w:hAnsi="Bookman Old Style"/>
      <w:color w:val="000000"/>
      <w:sz w:val="24"/>
      <w:szCs w:val="24"/>
    </w:rPr>
  </w:style>
  <w:style w:type="paragraph" w:styleId="NormalWeb">
    <w:name w:val="Normal (Web)"/>
    <w:basedOn w:val="Normal"/>
    <w:uiPriority w:val="99"/>
    <w:unhideWhenUsed w:val="1"/>
    <w:rsid w:val="00A95EA2"/>
    <w:pPr>
      <w:widowControl w:val="1"/>
      <w:autoSpaceDE w:val="1"/>
      <w:autoSpaceDN w:val="1"/>
      <w:adjustRightInd w:val="1"/>
      <w:spacing w:after="100" w:afterAutospacing="1" w:before="100" w:beforeAutospacing="1"/>
    </w:pPr>
    <w:rPr>
      <w:sz w:val="24"/>
    </w:rPr>
  </w:style>
  <w:style w:type="character" w:styleId="Emphasis">
    <w:name w:val="Emphasis"/>
    <w:uiPriority w:val="20"/>
    <w:qFormat w:val="1"/>
    <w:rsid w:val="00A95EA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booth@utah.gov" TargetMode="External"/><Relationship Id="rId10" Type="http://schemas.openxmlformats.org/officeDocument/2006/relationships/hyperlink" Target="https://artsandmuseums.utah.gov/traveling-exhibitions/" TargetMode="External"/><Relationship Id="rId13" Type="http://schemas.openxmlformats.org/officeDocument/2006/relationships/hyperlink" Target="http://artsandmuseums.utah.gov" TargetMode="External"/><Relationship Id="rId12" Type="http://schemas.openxmlformats.org/officeDocument/2006/relationships/hyperlink" Target="mailto:eweist@utah.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m.utah.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tsandmuseums.utah.gov/traveling-exhibitions/" TargetMode="External"/><Relationship Id="rId8" Type="http://schemas.openxmlformats.org/officeDocument/2006/relationships/hyperlink" Target="https://artsandmuseums.utah.gov/traveling-exhib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pmqWIwbZXEHUTzVjWX4VRuuCA==">CgMxLjA4AHIhMURsWF9JZ2JuTy1hRUo2SVo4X3FXWl9jZnBXV0kyV0It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2018-12-12T18:12:00Z</dcterms:created>
  <dc:creator>aleduc</dc:creator>
</cp:coreProperties>
</file>